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exact"/>
        <w:rPr>
          <w:rFonts w:ascii="仿宋_GB2312" w:hAnsi="仿宋" w:eastAsia="仿宋_GB2312" w:cs="宋体"/>
          <w:b/>
          <w:color w:val="000000"/>
          <w:kern w:val="0"/>
          <w:sz w:val="28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32"/>
        </w:rPr>
        <w:t>附件</w:t>
      </w:r>
      <w:r>
        <w:rPr>
          <w:rFonts w:ascii="仿宋_GB2312" w:hAnsi="仿宋" w:eastAsia="仿宋_GB2312" w:cs="宋体"/>
          <w:b/>
          <w:color w:val="000000"/>
          <w:kern w:val="0"/>
          <w:sz w:val="28"/>
          <w:szCs w:val="32"/>
        </w:rPr>
        <w:t>2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净月校区毕业生出售学习生活用品活动场地示意图</w:t>
      </w:r>
    </w:p>
    <w:p>
      <w:pPr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04460" cy="3579495"/>
            <wp:effectExtent l="9525" t="9525" r="2476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35794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exact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图中画黑线区域为毕业生出售学习生活用品活动的指定区域。</w:t>
      </w:r>
    </w:p>
    <w:p>
      <w:pPr>
        <w:rPr>
          <w:rFonts w:ascii="Calibri" w:hAnsi="Calibri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2017-06-01T08:42:32Z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